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F" w:rsidRPr="005D0DB2" w:rsidRDefault="00C517CF" w:rsidP="00C517CF">
      <w:pPr>
        <w:rPr>
          <w:sz w:val="16"/>
          <w:szCs w:val="16"/>
        </w:rPr>
      </w:pPr>
      <w:r w:rsidRPr="005D0DB2">
        <w:rPr>
          <w:sz w:val="16"/>
          <w:szCs w:val="16"/>
        </w:rPr>
        <w:t>Hibás készülékenként</w:t>
      </w:r>
      <w:r>
        <w:rPr>
          <w:sz w:val="16"/>
          <w:szCs w:val="16"/>
        </w:rPr>
        <w:t xml:space="preserve"> </w:t>
      </w:r>
      <w:r w:rsidRPr="005D0DB2">
        <w:rPr>
          <w:sz w:val="16"/>
          <w:szCs w:val="16"/>
        </w:rPr>
        <w:t>egy javítási megrendelőt kitöltve, aláírva, lepecsételve a készülékhez mellékelni szíveskedjen, illetve tőlünk megrendelt szállítás esetén egy példányt előzetesen faxon vagy e-mailben kérjük elküldeni.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009"/>
        <w:gridCol w:w="3549"/>
        <w:gridCol w:w="1224"/>
        <w:gridCol w:w="3508"/>
      </w:tblGrid>
      <w:tr w:rsidR="008130AF" w:rsidRPr="004A7827" w:rsidTr="00BF5791">
        <w:trPr>
          <w:trHeight w:val="165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bookmarkStart w:id="0" w:name="RANGE!B3:F38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Megrendelő tölti ki</w:t>
            </w:r>
            <w:bookmarkEnd w:id="0"/>
          </w:p>
        </w:tc>
        <w:tc>
          <w:tcPr>
            <w:tcW w:w="47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Megrendelő adatai:</w:t>
            </w:r>
          </w:p>
        </w:tc>
      </w:tr>
      <w:tr w:rsidR="008130AF" w:rsidRPr="004A7827" w:rsidTr="00BF5791">
        <w:trPr>
          <w:trHeight w:val="183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Kapcsolattartó: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Tel:</w:t>
            </w:r>
          </w:p>
        </w:tc>
      </w:tr>
      <w:tr w:rsidR="008130AF" w:rsidRPr="004A7827" w:rsidTr="00BF5791">
        <w:trPr>
          <w:trHeight w:val="11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Szervezet: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Fax:</w:t>
            </w:r>
          </w:p>
        </w:tc>
      </w:tr>
      <w:tr w:rsidR="008130AF" w:rsidRPr="004A7827" w:rsidTr="00BF5791">
        <w:trPr>
          <w:trHeight w:val="177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Szállítási cím: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E-mail:</w:t>
            </w:r>
          </w:p>
        </w:tc>
      </w:tr>
      <w:tr w:rsidR="008130AF" w:rsidRPr="004A7827" w:rsidTr="00BF5791">
        <w:trPr>
          <w:trHeight w:val="19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típusa:</w:t>
            </w:r>
          </w:p>
        </w:tc>
      </w:tr>
      <w:tr w:rsidR="008130AF" w:rsidRPr="004A7827" w:rsidTr="00BF5791">
        <w:trPr>
          <w:trHeight w:val="127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Számlázási cím: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TEI száma:</w:t>
            </w:r>
          </w:p>
        </w:tc>
      </w:tr>
      <w:tr w:rsidR="008130AF" w:rsidRPr="004A7827" w:rsidTr="00BF5791">
        <w:trPr>
          <w:trHeight w:val="14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gyári száma:</w:t>
            </w:r>
          </w:p>
        </w:tc>
      </w:tr>
      <w:tr w:rsidR="008130AF" w:rsidRPr="004A7827" w:rsidTr="00BF5791">
        <w:trPr>
          <w:trHeight w:val="27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79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Hiba rövid leírása:</w:t>
            </w:r>
          </w:p>
        </w:tc>
      </w:tr>
      <w:tr w:rsidR="008130AF" w:rsidRPr="004A7827" w:rsidTr="00BF5791">
        <w:trPr>
          <w:trHeight w:val="27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79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27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79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247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79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Javítást rendelek meg az alábbi tételekre (</w:t>
            </w:r>
            <w:proofErr w:type="gramStart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kérjük</w:t>
            </w:r>
            <w:proofErr w:type="gramEnd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jelölje be a kívánt szolgáltatást</w:t>
            </w:r>
            <w: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és a garanciális állapotot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):</w:t>
            </w:r>
          </w:p>
        </w:tc>
      </w:tr>
      <w:tr w:rsidR="008130AF" w:rsidRPr="004A7827" w:rsidTr="00BF5791">
        <w:trPr>
          <w:trHeight w:val="239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Garanciális javítás                          </w:t>
            </w:r>
          </w:p>
        </w:tc>
        <w:tc>
          <w:tcPr>
            <w:tcW w:w="2441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Garancián túli javítás:                           </w:t>
            </w:r>
          </w:p>
        </w:tc>
      </w:tr>
      <w:tr w:rsidR="008130AF" w:rsidRPr="004A7827" w:rsidTr="00BF5791">
        <w:trPr>
          <w:trHeight w:val="244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28 050 Ft</w:t>
            </w:r>
          </w:p>
        </w:tc>
        <w:tc>
          <w:tcPr>
            <w:tcW w:w="18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kijelző csere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37 750 Ft</w:t>
            </w:r>
          </w:p>
        </w:tc>
        <w:tc>
          <w:tcPr>
            <w:tcW w:w="18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SRG3900 konzol javítás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9 936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PTT gomb csere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65 772 Ft</w:t>
            </w:r>
          </w:p>
        </w:tc>
        <w:tc>
          <w:tcPr>
            <w:tcW w:w="181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Komplex </w:t>
            </w:r>
            <w:proofErr w:type="gram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javítás   (</w:t>
            </w:r>
            <w:proofErr w:type="gram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minden más, amit az előbbiek nem fednek le)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11 063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SRH </w:t>
            </w:r>
            <w:proofErr w:type="spell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mode</w:t>
            </w:r>
            <w:proofErr w:type="spell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gomb csere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1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9 405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forgatógomb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15 000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6 + 6 töltő, 1 fészek      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15 930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előlap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30 000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6 + 6 töltő, 2 fészek         </w:t>
            </w:r>
          </w:p>
        </w:tc>
      </w:tr>
      <w:tr w:rsidR="008130AF" w:rsidRPr="004A7827" w:rsidTr="00BF5791">
        <w:trPr>
          <w:trHeight w:val="67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10 575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F" w:rsidRDefault="008130AF" w:rsidP="00BF5791">
            <w:pPr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</w:pPr>
          </w:p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billentyűzet csere (előlap csere esetén csak 2510 Ft)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45 000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6 + 6 töltő, 3 fészek         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11 625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akkucsatlakozó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60 000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6 + 6 töltő, 4 fészek         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13 695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mikrofon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15 000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1+1 töltő   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13 020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hangszóró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126 672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12 férőhelyes töltő</w:t>
            </w:r>
          </w:p>
        </w:tc>
      </w:tr>
      <w:tr w:rsidR="008130AF" w:rsidRPr="004A7827" w:rsidTr="00BF5791">
        <w:trPr>
          <w:trHeight w:val="54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31 200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SRG3500 konzol kijelző csere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187 572 Ft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24 férőhelyes töltő</w:t>
            </w:r>
          </w:p>
        </w:tc>
      </w:tr>
      <w:tr w:rsidR="008130AF" w:rsidRPr="004A7827" w:rsidTr="00BF5791">
        <w:trPr>
          <w:trHeight w:val="66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13 470 Ft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SRG3500 konzol forgatógomb csere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7 000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Ft/irány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vidék         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8130AF" w:rsidRPr="004A7827" w:rsidTr="00BF5791">
        <w:trPr>
          <w:trHeight w:val="4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11 355 Ft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SRG3500 biztosíték csere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5 000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Ft/irány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Budapest  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8130AF" w:rsidRPr="004A7827" w:rsidTr="00D86094">
        <w:trPr>
          <w:trHeight w:hRule="exact" w:val="1683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798" w:type="pct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8130AF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A fent megjelölt szolgáltatásokat megrendelem, mindösszesen              Ft </w:t>
            </w:r>
            <w:proofErr w:type="gram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értékben .</w:t>
            </w:r>
            <w:proofErr w:type="gram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Amennyiben a készülék javíttatásától elállok vagy a készülék javíthatatlan, úgy vállalom a 7.000 </w:t>
            </w:r>
            <w:proofErr w:type="spell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Ft+Áfa</w:t>
            </w:r>
            <w:proofErr w:type="spell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bevizsgálási és dokumentációs illetve az esetlegesen megrendelt szállítási költség megfizetését. Elfogadom, hogy az elkészült készüléket az értesítéstől számított 10 munkanapon belül átvesszük, ellenkező esetben </w:t>
            </w:r>
            <w:proofErr w:type="spell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Sagemcom</w:t>
            </w:r>
            <w:proofErr w:type="spell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jogosult azt kiszállítani és mennyiségtől függetlenül 10 000 Ft szállítási költséget kiszámlázni.</w:t>
            </w:r>
          </w:p>
          <w:p w:rsidR="008130AF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1C24D9">
              <w:rPr>
                <w:color w:val="000000"/>
                <w:sz w:val="20"/>
                <w:szCs w:val="20"/>
                <w:lang w:val="hu-HU" w:eastAsia="hu-HU"/>
              </w:rPr>
              <w:t>Kelt</w:t>
            </w:r>
            <w:proofErr w:type="gram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:              </w:t>
            </w:r>
            <w:r>
              <w:rPr>
                <w:color w:val="000000"/>
                <w:sz w:val="20"/>
                <w:szCs w:val="20"/>
                <w:lang w:val="hu-HU" w:eastAsia="hu-HU"/>
              </w:rPr>
              <w:t xml:space="preserve">    </w:t>
            </w:r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-</w:t>
            </w:r>
            <w:proofErr w:type="gram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n</w:t>
            </w:r>
          </w:p>
          <w:p w:rsidR="00D86094" w:rsidRPr="004A7827" w:rsidRDefault="00D86094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bookmarkStart w:id="1" w:name="_GoBack"/>
            <w:bookmarkEnd w:id="1"/>
          </w:p>
        </w:tc>
      </w:tr>
      <w:tr w:rsidR="008130AF" w:rsidRPr="004A7827" w:rsidTr="00BF5791">
        <w:trPr>
          <w:trHeight w:val="125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130AF" w:rsidRPr="004A7827" w:rsidRDefault="008130AF" w:rsidP="00BF5791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Szerviz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Rendelés száma:</w:t>
            </w:r>
          </w:p>
        </w:tc>
        <w:tc>
          <w:tcPr>
            <w:tcW w:w="244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Feljegyzés a javításról:</w:t>
            </w:r>
          </w:p>
        </w:tc>
      </w:tr>
      <w:tr w:rsidR="008130AF" w:rsidRPr="004A7827" w:rsidTr="00BF5791">
        <w:trPr>
          <w:trHeight w:val="143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RMA száma:</w:t>
            </w:r>
          </w:p>
        </w:tc>
        <w:tc>
          <w:tcPr>
            <w:tcW w:w="244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259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K-kulcs:</w:t>
            </w:r>
          </w:p>
        </w:tc>
        <w:tc>
          <w:tcPr>
            <w:tcW w:w="244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259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Felh</w:t>
            </w:r>
            <w:proofErr w:type="spell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. anyagok:</w:t>
            </w:r>
          </w:p>
        </w:tc>
        <w:tc>
          <w:tcPr>
            <w:tcW w:w="244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130AF" w:rsidRPr="004A7827" w:rsidTr="00BF5791">
        <w:trPr>
          <w:trHeight w:val="259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0AF" w:rsidRPr="004A7827" w:rsidRDefault="008130AF" w:rsidP="00BF5791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Javítás dátuma:</w:t>
            </w:r>
          </w:p>
        </w:tc>
        <w:tc>
          <w:tcPr>
            <w:tcW w:w="244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0AF" w:rsidRPr="004A7827" w:rsidRDefault="008130AF" w:rsidP="00BF5791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:rsidR="007250C0" w:rsidRPr="004D1022" w:rsidRDefault="007250C0" w:rsidP="000D0E88">
      <w:pPr>
        <w:rPr>
          <w:rFonts w:ascii="Sagemcom Type" w:hAnsi="Sagemcom Type"/>
        </w:rPr>
      </w:pPr>
    </w:p>
    <w:sectPr w:rsidR="007250C0" w:rsidRPr="004D1022" w:rsidSect="000D0E88">
      <w:headerReference w:type="default" r:id="rId7"/>
      <w:pgSz w:w="11906" w:h="16838" w:code="9"/>
      <w:pgMar w:top="1276" w:right="1106" w:bottom="1560" w:left="110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B0" w:rsidRDefault="004D0CB0">
      <w:r>
        <w:separator/>
      </w:r>
    </w:p>
  </w:endnote>
  <w:endnote w:type="continuationSeparator" w:id="0">
    <w:p w:rsidR="004D0CB0" w:rsidRDefault="004D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B0" w:rsidRDefault="004D0CB0">
      <w:r>
        <w:separator/>
      </w:r>
    </w:p>
  </w:footnote>
  <w:footnote w:type="continuationSeparator" w:id="0">
    <w:p w:rsidR="004D0CB0" w:rsidRDefault="004D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Pr="00C517CF" w:rsidRDefault="000D0E88" w:rsidP="00C517CF">
    <w:pPr>
      <w:rPr>
        <w:b/>
        <w:sz w:val="28"/>
        <w:szCs w:val="28"/>
      </w:rPr>
    </w:pPr>
    <w:r w:rsidRPr="00C517CF"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-357505</wp:posOffset>
          </wp:positionV>
          <wp:extent cx="7573010" cy="10788015"/>
          <wp:effectExtent l="0" t="0" r="0" b="0"/>
          <wp:wrapNone/>
          <wp:docPr id="11" name="Kép 11" descr="Sagemcom_PAE_Hongrie_0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gemcom_PAE_Hongrie_0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8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7CF" w:rsidRPr="00C517CF">
      <w:rPr>
        <w:b/>
        <w:sz w:val="28"/>
        <w:szCs w:val="28"/>
      </w:rPr>
      <w:t>S</w:t>
    </w:r>
    <w:r w:rsidR="00C517CF" w:rsidRPr="00C517CF">
      <w:rPr>
        <w:b/>
        <w:sz w:val="28"/>
        <w:szCs w:val="28"/>
      </w:rPr>
      <w:t>EPURA TETRA</w:t>
    </w:r>
    <w:r w:rsidR="00C517CF" w:rsidRPr="00C517CF">
      <w:rPr>
        <w:b/>
        <w:color w:val="FF0000"/>
        <w:sz w:val="28"/>
        <w:szCs w:val="28"/>
      </w:rPr>
      <w:t xml:space="preserve"> </w:t>
    </w:r>
    <w:r w:rsidR="008130AF">
      <w:rPr>
        <w:b/>
        <w:color w:val="FF0000"/>
        <w:sz w:val="28"/>
        <w:szCs w:val="28"/>
      </w:rPr>
      <w:t>SRH/SRG</w:t>
    </w:r>
    <w:r w:rsidR="00C517CF" w:rsidRPr="00C517CF">
      <w:rPr>
        <w:b/>
        <w:sz w:val="28"/>
        <w:szCs w:val="28"/>
      </w:rPr>
      <w:t xml:space="preserve"> készülék javítás megrendelés</w:t>
    </w:r>
  </w:p>
  <w:p w:rsidR="00C938E1" w:rsidRDefault="00C938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8"/>
    <w:rsid w:val="0000193F"/>
    <w:rsid w:val="00007B50"/>
    <w:rsid w:val="00025380"/>
    <w:rsid w:val="00035A21"/>
    <w:rsid w:val="0005346F"/>
    <w:rsid w:val="00073AEA"/>
    <w:rsid w:val="0008016A"/>
    <w:rsid w:val="000867FD"/>
    <w:rsid w:val="00093CCF"/>
    <w:rsid w:val="000A2C6F"/>
    <w:rsid w:val="000A561B"/>
    <w:rsid w:val="000B0E4D"/>
    <w:rsid w:val="000B32FA"/>
    <w:rsid w:val="000C25B8"/>
    <w:rsid w:val="000C3BAE"/>
    <w:rsid w:val="000D0E88"/>
    <w:rsid w:val="000D575D"/>
    <w:rsid w:val="000D6981"/>
    <w:rsid w:val="000F131F"/>
    <w:rsid w:val="0011096A"/>
    <w:rsid w:val="00117E5D"/>
    <w:rsid w:val="00122010"/>
    <w:rsid w:val="00125F8C"/>
    <w:rsid w:val="001271C9"/>
    <w:rsid w:val="001310D6"/>
    <w:rsid w:val="00160C34"/>
    <w:rsid w:val="00186745"/>
    <w:rsid w:val="001A14EC"/>
    <w:rsid w:val="001A6456"/>
    <w:rsid w:val="001D2716"/>
    <w:rsid w:val="001E015D"/>
    <w:rsid w:val="001E58CD"/>
    <w:rsid w:val="001F04F1"/>
    <w:rsid w:val="001F5C08"/>
    <w:rsid w:val="002020A0"/>
    <w:rsid w:val="0021667D"/>
    <w:rsid w:val="00223FA2"/>
    <w:rsid w:val="0023414B"/>
    <w:rsid w:val="0023782E"/>
    <w:rsid w:val="00286AC2"/>
    <w:rsid w:val="002929D9"/>
    <w:rsid w:val="002D4A97"/>
    <w:rsid w:val="002F3BA9"/>
    <w:rsid w:val="002F7955"/>
    <w:rsid w:val="0030766C"/>
    <w:rsid w:val="00311CE3"/>
    <w:rsid w:val="00346C3D"/>
    <w:rsid w:val="003748D6"/>
    <w:rsid w:val="003809A1"/>
    <w:rsid w:val="003A4112"/>
    <w:rsid w:val="003B0646"/>
    <w:rsid w:val="003B7CA2"/>
    <w:rsid w:val="003E15F0"/>
    <w:rsid w:val="003E7870"/>
    <w:rsid w:val="00415F6E"/>
    <w:rsid w:val="004318F2"/>
    <w:rsid w:val="00435D64"/>
    <w:rsid w:val="00471468"/>
    <w:rsid w:val="004A44F7"/>
    <w:rsid w:val="004B4D5E"/>
    <w:rsid w:val="004D0CB0"/>
    <w:rsid w:val="004D1022"/>
    <w:rsid w:val="004E344D"/>
    <w:rsid w:val="004E4882"/>
    <w:rsid w:val="004F685B"/>
    <w:rsid w:val="0050774B"/>
    <w:rsid w:val="00510A1B"/>
    <w:rsid w:val="005153A6"/>
    <w:rsid w:val="005246D7"/>
    <w:rsid w:val="00524CC7"/>
    <w:rsid w:val="00535C7B"/>
    <w:rsid w:val="00551E79"/>
    <w:rsid w:val="005766CA"/>
    <w:rsid w:val="005819BC"/>
    <w:rsid w:val="00582192"/>
    <w:rsid w:val="005A6551"/>
    <w:rsid w:val="005B4D06"/>
    <w:rsid w:val="005E3A7E"/>
    <w:rsid w:val="005F1761"/>
    <w:rsid w:val="00612E52"/>
    <w:rsid w:val="0061745D"/>
    <w:rsid w:val="00662E80"/>
    <w:rsid w:val="006D4EB8"/>
    <w:rsid w:val="006E4908"/>
    <w:rsid w:val="006E4A2E"/>
    <w:rsid w:val="006E5A70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B524C"/>
    <w:rsid w:val="007B534F"/>
    <w:rsid w:val="007C51A2"/>
    <w:rsid w:val="00800CC0"/>
    <w:rsid w:val="008130AF"/>
    <w:rsid w:val="00815852"/>
    <w:rsid w:val="0081757A"/>
    <w:rsid w:val="00843162"/>
    <w:rsid w:val="008439D8"/>
    <w:rsid w:val="00843AB7"/>
    <w:rsid w:val="00856268"/>
    <w:rsid w:val="00865390"/>
    <w:rsid w:val="00867B2C"/>
    <w:rsid w:val="008739A2"/>
    <w:rsid w:val="008927D3"/>
    <w:rsid w:val="008947A1"/>
    <w:rsid w:val="008D6CC4"/>
    <w:rsid w:val="008F5055"/>
    <w:rsid w:val="00900E1B"/>
    <w:rsid w:val="00901ABF"/>
    <w:rsid w:val="00906779"/>
    <w:rsid w:val="00913FAA"/>
    <w:rsid w:val="009158FC"/>
    <w:rsid w:val="00925FBD"/>
    <w:rsid w:val="009271A0"/>
    <w:rsid w:val="00936E4C"/>
    <w:rsid w:val="00944A58"/>
    <w:rsid w:val="00954184"/>
    <w:rsid w:val="0095617C"/>
    <w:rsid w:val="0096086F"/>
    <w:rsid w:val="00970CB3"/>
    <w:rsid w:val="00985692"/>
    <w:rsid w:val="009C470E"/>
    <w:rsid w:val="009C4EAC"/>
    <w:rsid w:val="009E003D"/>
    <w:rsid w:val="009E56C9"/>
    <w:rsid w:val="009F60AB"/>
    <w:rsid w:val="009F7370"/>
    <w:rsid w:val="00A72360"/>
    <w:rsid w:val="00A74D10"/>
    <w:rsid w:val="00A7566D"/>
    <w:rsid w:val="00AA16DA"/>
    <w:rsid w:val="00AC564C"/>
    <w:rsid w:val="00AD311D"/>
    <w:rsid w:val="00AD7D3C"/>
    <w:rsid w:val="00AE53B7"/>
    <w:rsid w:val="00B34B30"/>
    <w:rsid w:val="00B42378"/>
    <w:rsid w:val="00B56D12"/>
    <w:rsid w:val="00B6214E"/>
    <w:rsid w:val="00B638E0"/>
    <w:rsid w:val="00B65618"/>
    <w:rsid w:val="00B724CE"/>
    <w:rsid w:val="00B921F8"/>
    <w:rsid w:val="00BB16ED"/>
    <w:rsid w:val="00BC7AA3"/>
    <w:rsid w:val="00BD4FF5"/>
    <w:rsid w:val="00BE43EE"/>
    <w:rsid w:val="00C20F7F"/>
    <w:rsid w:val="00C27543"/>
    <w:rsid w:val="00C4026D"/>
    <w:rsid w:val="00C40A19"/>
    <w:rsid w:val="00C517CF"/>
    <w:rsid w:val="00C5180C"/>
    <w:rsid w:val="00C6661F"/>
    <w:rsid w:val="00C679A9"/>
    <w:rsid w:val="00C733BF"/>
    <w:rsid w:val="00C73B46"/>
    <w:rsid w:val="00C80B84"/>
    <w:rsid w:val="00C938E1"/>
    <w:rsid w:val="00CA0D7F"/>
    <w:rsid w:val="00CA4466"/>
    <w:rsid w:val="00CB0F25"/>
    <w:rsid w:val="00CD6FEE"/>
    <w:rsid w:val="00CF6D57"/>
    <w:rsid w:val="00D73CC7"/>
    <w:rsid w:val="00D80B12"/>
    <w:rsid w:val="00D82AAD"/>
    <w:rsid w:val="00D86094"/>
    <w:rsid w:val="00D8778F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74232"/>
    <w:rsid w:val="00E8119A"/>
    <w:rsid w:val="00E81D4C"/>
    <w:rsid w:val="00E95E68"/>
    <w:rsid w:val="00EA19A0"/>
    <w:rsid w:val="00EB23E4"/>
    <w:rsid w:val="00EC2E0D"/>
    <w:rsid w:val="00ED7086"/>
    <w:rsid w:val="00F0174B"/>
    <w:rsid w:val="00F14C3F"/>
    <w:rsid w:val="00F51021"/>
    <w:rsid w:val="00F94076"/>
    <w:rsid w:val="00FA4CCB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867DE9"/>
  <w15:chartTrackingRefBased/>
  <w15:docId w15:val="{2E0F0985-2B85-4E02-B70C-C35385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53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G004379</dc:creator>
  <cp:keywords/>
  <cp:lastModifiedBy>Kiss Csaba</cp:lastModifiedBy>
  <cp:revision>3</cp:revision>
  <cp:lastPrinted>2009-11-24T10:06:00Z</cp:lastPrinted>
  <dcterms:created xsi:type="dcterms:W3CDTF">2017-06-09T08:17:00Z</dcterms:created>
  <dcterms:modified xsi:type="dcterms:W3CDTF">2017-06-09T08:18:00Z</dcterms:modified>
</cp:coreProperties>
</file>